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left="0" w:leftChars="0" w:firstLine="0" w:firstLineChars="0"/>
        <w:jc w:val="center"/>
        <w:rPr>
          <w:rFonts w:hint="eastAsia" w:ascii="宋体" w:hAnsi="宋体" w:eastAsia="宋体" w:cs="宋体"/>
          <w:b/>
          <w:bCs/>
          <w:spacing w:val="8"/>
          <w:sz w:val="36"/>
          <w:szCs w:val="36"/>
          <w:shd w:val="clear" w:color="auto" w:fill="auto"/>
          <w:lang w:eastAsia="zh-CN"/>
        </w:rPr>
      </w:pPr>
      <w:r>
        <w:rPr>
          <w:rFonts w:hint="eastAsia" w:ascii="宋体" w:hAnsi="宋体" w:eastAsia="宋体" w:cs="宋体"/>
          <w:b/>
          <w:bCs/>
          <w:spacing w:val="8"/>
          <w:sz w:val="36"/>
          <w:szCs w:val="36"/>
          <w:shd w:val="clear" w:color="auto" w:fill="auto"/>
          <w:lang w:eastAsia="zh-CN"/>
        </w:rPr>
        <w:t>黑龙江兴业环保科技有限公司</w:t>
      </w:r>
    </w:p>
    <w:p>
      <w:pPr>
        <w:widowControl/>
        <w:spacing w:line="540" w:lineRule="exact"/>
        <w:ind w:left="0" w:leftChars="0" w:firstLine="0" w:firstLineChars="0"/>
        <w:jc w:val="center"/>
        <w:rPr>
          <w:rFonts w:hint="eastAsia" w:ascii="宋体" w:hAnsi="宋体" w:eastAsia="宋体" w:cs="宋体"/>
          <w:b/>
          <w:bCs/>
          <w:spacing w:val="8"/>
          <w:sz w:val="32"/>
          <w:szCs w:val="32"/>
          <w:shd w:val="clear" w:color="auto" w:fill="auto"/>
          <w:lang w:eastAsia="zh-CN"/>
        </w:rPr>
      </w:pPr>
      <w:r>
        <w:rPr>
          <w:rFonts w:hint="eastAsia" w:ascii="宋体" w:hAnsi="宋体" w:cs="宋体"/>
          <w:b/>
          <w:bCs/>
          <w:spacing w:val="8"/>
          <w:sz w:val="36"/>
          <w:szCs w:val="36"/>
          <w:shd w:val="clear" w:color="auto" w:fill="auto"/>
          <w:lang w:val="en-US" w:eastAsia="zh-CN"/>
        </w:rPr>
        <w:t>基本情况</w:t>
      </w:r>
    </w:p>
    <w:p>
      <w:pPr>
        <w:keepNext w:val="0"/>
        <w:keepLines w:val="0"/>
        <w:pageBreakBefore w:val="0"/>
        <w:widowControl w:val="0"/>
        <w:kinsoku/>
        <w:wordWrap/>
        <w:overflowPunct/>
        <w:topLinePunct w:val="0"/>
        <w:autoSpaceDE/>
        <w:autoSpaceDN/>
        <w:bidi w:val="0"/>
        <w:adjustRightInd/>
        <w:snapToGrid w:val="0"/>
        <w:spacing w:before="313" w:beforeLines="100" w:line="360" w:lineRule="auto"/>
        <w:ind w:left="0" w:leftChars="0" w:right="0" w:rightChars="0" w:firstLine="0" w:firstLineChars="0"/>
        <w:jc w:val="both"/>
        <w:textAlignment w:val="auto"/>
        <w:outlineLvl w:val="9"/>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val="en-US" w:eastAsia="zh-CN"/>
        </w:rPr>
        <w:t>一、公司简介</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rPr>
        <w:t>黑龙江兴业环保科技有限公司</w:t>
      </w:r>
      <w:r>
        <w:rPr>
          <w:rFonts w:hint="eastAsia" w:ascii="仿宋_GB2312" w:eastAsia="仿宋_GB2312"/>
          <w:color w:val="000000"/>
          <w:sz w:val="28"/>
          <w:szCs w:val="28"/>
          <w:lang w:val="en-US" w:eastAsia="zh-CN"/>
        </w:rPr>
        <w:t>是</w:t>
      </w:r>
      <w:r>
        <w:rPr>
          <w:rFonts w:hint="eastAsia" w:ascii="仿宋_GB2312" w:eastAsia="仿宋_GB2312"/>
          <w:color w:val="000000"/>
          <w:sz w:val="28"/>
          <w:szCs w:val="28"/>
        </w:rPr>
        <w:t>根据环境保护部办公厅文件《关于推进事业单位环境影响评价体制改革工作的通知》</w:t>
      </w:r>
      <w:r>
        <w:rPr>
          <w:rFonts w:hint="eastAsia" w:ascii="仿宋_GB2312" w:eastAsia="仿宋_GB2312"/>
          <w:color w:val="000000"/>
          <w:sz w:val="28"/>
          <w:szCs w:val="28"/>
          <w:lang w:eastAsia="zh-CN"/>
        </w:rPr>
        <w:t>（</w:t>
      </w:r>
      <w:r>
        <w:rPr>
          <w:rFonts w:hint="eastAsia" w:ascii="仿宋_GB2312" w:eastAsia="仿宋_GB2312"/>
          <w:color w:val="000000"/>
          <w:sz w:val="28"/>
          <w:szCs w:val="28"/>
        </w:rPr>
        <w:t>环办[2013]109号</w:t>
      </w:r>
      <w:r>
        <w:rPr>
          <w:rFonts w:hint="eastAsia" w:ascii="仿宋_GB2312" w:eastAsia="仿宋_GB2312"/>
          <w:color w:val="000000"/>
          <w:sz w:val="28"/>
          <w:szCs w:val="28"/>
          <w:lang w:eastAsia="zh-CN"/>
        </w:rPr>
        <w:t>）</w:t>
      </w:r>
      <w:r>
        <w:rPr>
          <w:rFonts w:hint="eastAsia" w:ascii="仿宋_GB2312" w:eastAsia="仿宋_GB2312"/>
          <w:color w:val="000000"/>
          <w:sz w:val="28"/>
          <w:szCs w:val="28"/>
        </w:rPr>
        <w:t>及《关于进一步加强环境影响评价机构管理的意见》</w:t>
      </w:r>
      <w:r>
        <w:rPr>
          <w:rFonts w:hint="eastAsia" w:ascii="仿宋_GB2312" w:eastAsia="仿宋_GB2312"/>
          <w:color w:val="000000"/>
          <w:sz w:val="28"/>
          <w:szCs w:val="28"/>
          <w:lang w:eastAsia="zh-CN"/>
        </w:rPr>
        <w:t>（</w:t>
      </w:r>
      <w:r>
        <w:rPr>
          <w:rFonts w:hint="eastAsia" w:ascii="仿宋_GB2312" w:eastAsia="仿宋_GB2312"/>
          <w:color w:val="000000"/>
          <w:sz w:val="28"/>
          <w:szCs w:val="28"/>
        </w:rPr>
        <w:t>环办[2014]24号</w:t>
      </w:r>
      <w:r>
        <w:rPr>
          <w:rFonts w:hint="eastAsia" w:ascii="仿宋_GB2312" w:eastAsia="仿宋_GB2312"/>
          <w:color w:val="000000"/>
          <w:sz w:val="28"/>
          <w:szCs w:val="28"/>
          <w:lang w:eastAsia="zh-CN"/>
        </w:rPr>
        <w:t>）</w:t>
      </w:r>
      <w:r>
        <w:rPr>
          <w:rFonts w:hint="eastAsia" w:ascii="仿宋_GB2312" w:eastAsia="仿宋_GB2312"/>
          <w:color w:val="000000"/>
          <w:sz w:val="28"/>
          <w:szCs w:val="28"/>
        </w:rPr>
        <w:t>要求，</w:t>
      </w:r>
      <w:r>
        <w:rPr>
          <w:rFonts w:hint="eastAsia" w:ascii="仿宋_GB2312" w:eastAsia="仿宋_GB2312"/>
          <w:color w:val="000000"/>
          <w:sz w:val="28"/>
          <w:szCs w:val="28"/>
          <w:lang w:eastAsia="zh-CN"/>
        </w:rPr>
        <w:t>由</w:t>
      </w:r>
      <w:r>
        <w:rPr>
          <w:rFonts w:hint="eastAsia" w:ascii="仿宋_GB2312" w:eastAsia="仿宋_GB2312"/>
          <w:color w:val="000000"/>
          <w:sz w:val="28"/>
          <w:szCs w:val="28"/>
        </w:rPr>
        <w:t>黑龙江省环境科学研究院</w:t>
      </w:r>
      <w:r>
        <w:rPr>
          <w:rFonts w:hint="eastAsia" w:ascii="仿宋_GB2312" w:eastAsia="仿宋_GB2312"/>
          <w:color w:val="000000"/>
          <w:sz w:val="28"/>
          <w:szCs w:val="28"/>
          <w:lang w:eastAsia="zh-CN"/>
        </w:rPr>
        <w:t>环评业务整体转制成立的公司。</w:t>
      </w:r>
      <w:r>
        <w:rPr>
          <w:rFonts w:hint="eastAsia" w:ascii="仿宋_GB2312" w:eastAsia="仿宋_GB2312"/>
          <w:color w:val="000000"/>
          <w:sz w:val="28"/>
          <w:szCs w:val="28"/>
        </w:rPr>
        <w:t>公司</w:t>
      </w:r>
      <w:r>
        <w:rPr>
          <w:rFonts w:hint="eastAsia" w:ascii="仿宋_GB2312" w:eastAsia="仿宋_GB2312"/>
          <w:color w:val="000000"/>
          <w:sz w:val="28"/>
          <w:szCs w:val="28"/>
          <w:lang w:eastAsia="zh-CN"/>
        </w:rPr>
        <w:t>成立于</w:t>
      </w:r>
      <w:r>
        <w:rPr>
          <w:rFonts w:hint="eastAsia" w:ascii="仿宋_GB2312" w:eastAsia="仿宋_GB2312"/>
          <w:color w:val="000000"/>
          <w:sz w:val="28"/>
          <w:szCs w:val="28"/>
          <w:lang w:val="en-US" w:eastAsia="zh-CN"/>
        </w:rPr>
        <w:t>2014年4月30日，环评业务人员全部由</w:t>
      </w:r>
      <w:r>
        <w:rPr>
          <w:rFonts w:hint="eastAsia" w:ascii="仿宋_GB2312" w:eastAsia="仿宋_GB2312"/>
          <w:color w:val="000000"/>
          <w:sz w:val="28"/>
          <w:szCs w:val="28"/>
        </w:rPr>
        <w:t>黑龙江省环境科学研究院</w:t>
      </w:r>
      <w:r>
        <w:rPr>
          <w:rFonts w:hint="eastAsia" w:ascii="仿宋_GB2312" w:eastAsia="仿宋_GB2312"/>
          <w:color w:val="000000"/>
          <w:sz w:val="28"/>
          <w:szCs w:val="28"/>
          <w:lang w:val="en-US" w:eastAsia="zh-CN"/>
        </w:rPr>
        <w:t>环评机构人员组成。</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黑龙江省环境保护科学研究院成立于1972年，是目前本省唯一一个具有重要学术地位的省级权威性环境科学研究中心和科研基地。是全省开展环评业务最早的机构，从二十世纪八十年代就开展了全省范围的大型项目生态及工业项目的环境影响评价工作，是首批获得国家环保部颁发的环境影响评价甲级资格证书（国环评证甲字第1703号）的单位，长期以来建立了系统完整的环境科学专业学科体系和比较完备的环评专业模式。培养并拥有众多优秀的环境保护专业专家级科研与工程技术人才，专业学科涵盖了环境工程、环境生态、环境化学等三十多个学科。现有30余名专业技术人员中，95%具有大学本科及以上学历，拥有多名环保工程教授级高级工程师，有多名国家级及省市级环评专家，获得多项省部级以上优秀工程咨询等项奖励。在环境生态保护规划、地表水环境污染防治对策研究、环境标准研制、有机工业废水处理技术研究、大型建设项目和重点生态区域开发环境影响评价等领域都达到了国内领先水平，并具备了较强技术实力和影响力。</w:t>
      </w:r>
    </w:p>
    <w:p>
      <w:pPr>
        <w:snapToGrid w:val="0"/>
        <w:spacing w:line="360" w:lineRule="auto"/>
        <w:ind w:firstLine="707" w:firstLineChars="221"/>
        <w:rPr>
          <w:rFonts w:hint="eastAsia" w:ascii="仿宋_GB2312" w:eastAsia="仿宋_GB2312"/>
          <w:color w:val="000000"/>
          <w:sz w:val="28"/>
          <w:szCs w:val="28"/>
        </w:rPr>
      </w:pPr>
      <w:r>
        <w:rPr>
          <w:rFonts w:hint="eastAsia" w:ascii="仿宋_GB2312" w:eastAsia="仿宋_GB2312"/>
          <w:color w:val="000000"/>
          <w:sz w:val="28"/>
          <w:szCs w:val="28"/>
          <w:lang w:val="en-US" w:eastAsia="zh-CN"/>
        </w:rPr>
        <w:t>从业来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承担</w:t>
      </w:r>
      <w:r>
        <w:rPr>
          <w:rFonts w:hint="eastAsia" w:ascii="仿宋_GB2312" w:eastAsia="仿宋_GB2312"/>
          <w:color w:val="000000"/>
          <w:sz w:val="28"/>
          <w:szCs w:val="28"/>
          <w:lang w:eastAsia="zh-CN"/>
        </w:rPr>
        <w:t>的环评工作覆盖黑龙江省各个区域</w:t>
      </w:r>
      <w:r>
        <w:rPr>
          <w:rFonts w:hint="eastAsia" w:ascii="仿宋_GB2312" w:eastAsia="仿宋_GB2312"/>
          <w:color w:val="000000"/>
          <w:sz w:val="28"/>
          <w:szCs w:val="28"/>
          <w:lang w:val="en-US" w:eastAsia="zh-CN"/>
        </w:rPr>
        <w:t>已达上千项，</w:t>
      </w:r>
      <w:r>
        <w:rPr>
          <w:rFonts w:hint="eastAsia" w:ascii="仿宋_GB2312" w:eastAsia="仿宋_GB2312"/>
          <w:color w:val="000000"/>
          <w:sz w:val="28"/>
          <w:szCs w:val="28"/>
          <w:lang w:eastAsia="zh-CN"/>
        </w:rPr>
        <w:t>出色地完成了环保部审批的</w:t>
      </w:r>
      <w:r>
        <w:rPr>
          <w:rFonts w:hint="eastAsia" w:ascii="仿宋_GB2312" w:eastAsia="仿宋_GB2312"/>
          <w:color w:val="000000"/>
          <w:sz w:val="28"/>
          <w:szCs w:val="28"/>
          <w:lang w:val="en-US" w:eastAsia="zh-CN"/>
        </w:rPr>
        <w:t>30</w:t>
      </w:r>
      <w:r>
        <w:rPr>
          <w:rFonts w:hint="eastAsia" w:ascii="仿宋_GB2312" w:eastAsia="仿宋_GB2312"/>
          <w:color w:val="000000"/>
          <w:sz w:val="28"/>
          <w:szCs w:val="28"/>
          <w:lang w:eastAsia="zh-CN"/>
        </w:rPr>
        <w:t>多项大型</w:t>
      </w:r>
      <w:r>
        <w:rPr>
          <w:rFonts w:hint="eastAsia" w:ascii="仿宋_GB2312" w:eastAsia="仿宋_GB2312"/>
          <w:color w:val="000000"/>
          <w:sz w:val="28"/>
          <w:szCs w:val="28"/>
          <w:lang w:val="en-US" w:eastAsia="zh-CN"/>
        </w:rPr>
        <w:t>重点</w:t>
      </w:r>
      <w:r>
        <w:rPr>
          <w:rFonts w:hint="eastAsia" w:ascii="仿宋_GB2312" w:eastAsia="仿宋_GB2312"/>
          <w:color w:val="000000"/>
          <w:sz w:val="28"/>
          <w:szCs w:val="28"/>
          <w:lang w:eastAsia="zh-CN"/>
        </w:rPr>
        <w:t>项目，</w:t>
      </w:r>
      <w:r>
        <w:rPr>
          <w:rFonts w:hint="eastAsia" w:ascii="仿宋_GB2312" w:eastAsia="仿宋_GB2312"/>
          <w:color w:val="000000"/>
          <w:sz w:val="28"/>
          <w:szCs w:val="28"/>
          <w:lang w:val="en-US" w:eastAsia="zh-CN"/>
        </w:rPr>
        <w:t>并有</w:t>
      </w:r>
      <w:r>
        <w:rPr>
          <w:rFonts w:hint="eastAsia" w:ascii="仿宋_GB2312" w:eastAsia="仿宋_GB2312"/>
          <w:color w:val="000000"/>
          <w:sz w:val="28"/>
          <w:szCs w:val="28"/>
          <w:lang w:eastAsia="zh-CN"/>
        </w:rPr>
        <w:t>多项省审项目获得优秀报告奖。在黑龙江省同行业中因</w:t>
      </w:r>
      <w:r>
        <w:rPr>
          <w:rFonts w:hint="eastAsia" w:ascii="仿宋_GB2312" w:eastAsia="仿宋_GB2312"/>
          <w:color w:val="000000"/>
          <w:sz w:val="28"/>
          <w:szCs w:val="28"/>
        </w:rPr>
        <w:t>从事环境影响评价研究工作起步</w:t>
      </w:r>
      <w:r>
        <w:rPr>
          <w:rFonts w:hint="eastAsia" w:ascii="仿宋_GB2312" w:eastAsia="仿宋_GB2312"/>
          <w:color w:val="000000"/>
          <w:sz w:val="28"/>
          <w:szCs w:val="28"/>
          <w:lang w:eastAsia="zh-CN"/>
        </w:rPr>
        <w:t>最</w:t>
      </w:r>
      <w:r>
        <w:rPr>
          <w:rFonts w:hint="eastAsia" w:ascii="仿宋_GB2312" w:eastAsia="仿宋_GB2312"/>
          <w:color w:val="000000"/>
          <w:sz w:val="28"/>
          <w:szCs w:val="28"/>
        </w:rPr>
        <w:t>早</w:t>
      </w:r>
      <w:r>
        <w:rPr>
          <w:rFonts w:hint="eastAsia" w:ascii="仿宋_GB2312" w:eastAsia="仿宋_GB2312"/>
          <w:color w:val="000000"/>
          <w:sz w:val="28"/>
          <w:szCs w:val="28"/>
          <w:lang w:eastAsia="zh-CN"/>
        </w:rPr>
        <w:t>，积累了宝贵的</w:t>
      </w:r>
      <w:r>
        <w:rPr>
          <w:rFonts w:hint="eastAsia" w:ascii="仿宋_GB2312" w:eastAsia="仿宋_GB2312"/>
          <w:color w:val="000000"/>
          <w:sz w:val="28"/>
          <w:szCs w:val="28"/>
        </w:rPr>
        <w:t>工作经验，</w:t>
      </w:r>
      <w:r>
        <w:rPr>
          <w:rFonts w:hint="eastAsia" w:ascii="仿宋_GB2312" w:eastAsia="仿宋_GB2312"/>
          <w:color w:val="000000"/>
          <w:sz w:val="28"/>
          <w:szCs w:val="28"/>
          <w:lang w:eastAsia="zh-CN"/>
        </w:rPr>
        <w:t>在环保领域业务面广，具有大量的生态保护、工业污染防治、环境规划的专业人才，</w:t>
      </w:r>
      <w:r>
        <w:rPr>
          <w:rFonts w:hint="eastAsia" w:ascii="仿宋_GB2312" w:eastAsia="仿宋_GB2312"/>
          <w:color w:val="000000"/>
          <w:sz w:val="28"/>
          <w:szCs w:val="28"/>
        </w:rPr>
        <w:t>既为政府决策部门提供了技术支持，同时也培养出了一支素质较高的专业环评队伍。</w:t>
      </w:r>
    </w:p>
    <w:p>
      <w:pPr>
        <w:snapToGrid w:val="0"/>
        <w:spacing w:line="360" w:lineRule="auto"/>
        <w:ind w:firstLine="707" w:firstLineChars="221"/>
        <w:rPr>
          <w:rFonts w:hint="eastAsia" w:ascii="仿宋_GB2312" w:eastAsia="仿宋_GB2312"/>
          <w:color w:val="000000"/>
          <w:sz w:val="28"/>
          <w:szCs w:val="28"/>
        </w:rPr>
      </w:pPr>
      <w:r>
        <w:rPr>
          <w:rFonts w:hint="eastAsia" w:ascii="仿宋_GB2312" w:eastAsia="仿宋_GB2312"/>
          <w:color w:val="000000"/>
          <w:sz w:val="28"/>
          <w:szCs w:val="28"/>
          <w:lang w:val="en-US" w:eastAsia="zh-CN"/>
        </w:rPr>
        <w:t>公司具有</w:t>
      </w:r>
      <w:r>
        <w:rPr>
          <w:rFonts w:hint="eastAsia" w:ascii="仿宋_GB2312" w:eastAsia="仿宋_GB2312"/>
          <w:color w:val="000000"/>
          <w:sz w:val="28"/>
          <w:szCs w:val="28"/>
          <w:lang w:eastAsia="zh-CN"/>
        </w:rPr>
        <w:t>完备的管理体系</w:t>
      </w:r>
      <w:r>
        <w:rPr>
          <w:rFonts w:hint="eastAsia" w:ascii="仿宋_GB2312" w:eastAsia="仿宋_GB2312"/>
          <w:color w:val="000000"/>
          <w:sz w:val="28"/>
          <w:szCs w:val="28"/>
          <w:lang w:val="en-US" w:eastAsia="zh-CN"/>
        </w:rPr>
        <w:t>及先进的技术设备，</w:t>
      </w:r>
      <w:r>
        <w:rPr>
          <w:rFonts w:hint="eastAsia" w:ascii="仿宋_GB2312" w:eastAsia="仿宋_GB2312"/>
          <w:color w:val="000000"/>
          <w:sz w:val="28"/>
          <w:szCs w:val="28"/>
          <w:lang w:eastAsia="zh-CN"/>
        </w:rPr>
        <w:t>拥有和善的服务态度，</w:t>
      </w:r>
      <w:r>
        <w:rPr>
          <w:rFonts w:hint="eastAsia" w:ascii="仿宋_GB2312" w:eastAsia="仿宋_GB2312"/>
          <w:color w:val="000000"/>
          <w:sz w:val="28"/>
          <w:szCs w:val="28"/>
          <w:lang w:val="en-US" w:eastAsia="zh-CN"/>
        </w:rPr>
        <w:t>同时</w:t>
      </w:r>
      <w:r>
        <w:rPr>
          <w:rFonts w:hint="eastAsia" w:ascii="仿宋_GB2312" w:eastAsia="仿宋_GB2312"/>
          <w:color w:val="000000"/>
          <w:sz w:val="28"/>
          <w:szCs w:val="28"/>
          <w:lang w:eastAsia="zh-CN"/>
        </w:rPr>
        <w:t>不断提高员工的专业技能，力求为客户编写最佳的环评报告。</w:t>
      </w:r>
      <w:r>
        <w:rPr>
          <w:rFonts w:hint="eastAsia" w:ascii="仿宋_GB2312" w:eastAsia="仿宋_GB2312"/>
          <w:color w:val="000000"/>
          <w:sz w:val="28"/>
          <w:szCs w:val="28"/>
        </w:rPr>
        <w:t>近年来，评价技术水平和报告书编写质量不断提升，市场覆盖能力逐步增强，承接环评项目数</w:t>
      </w:r>
      <w:r>
        <w:rPr>
          <w:rFonts w:hint="eastAsia" w:ascii="仿宋_GB2312" w:eastAsia="仿宋_GB2312"/>
          <w:color w:val="000000"/>
          <w:sz w:val="28"/>
          <w:szCs w:val="28"/>
          <w:lang w:eastAsia="zh-CN"/>
        </w:rPr>
        <w:t>量</w:t>
      </w:r>
      <w:r>
        <w:rPr>
          <w:rFonts w:hint="eastAsia" w:ascii="仿宋_GB2312" w:eastAsia="仿宋_GB2312"/>
          <w:color w:val="000000"/>
          <w:sz w:val="28"/>
          <w:szCs w:val="28"/>
        </w:rPr>
        <w:t>逐年递增。</w:t>
      </w:r>
    </w:p>
    <w:p>
      <w:pPr>
        <w:keepNext w:val="0"/>
        <w:keepLines w:val="0"/>
        <w:pageBreakBefore w:val="0"/>
        <w:widowControl w:val="0"/>
        <w:kinsoku/>
        <w:wordWrap/>
        <w:overflowPunct/>
        <w:topLinePunct w:val="0"/>
        <w:autoSpaceDE/>
        <w:autoSpaceDN/>
        <w:bidi w:val="0"/>
        <w:adjustRightInd/>
        <w:snapToGrid w:val="0"/>
        <w:spacing w:before="313" w:beforeLines="100" w:line="360" w:lineRule="auto"/>
        <w:ind w:left="0" w:leftChars="0" w:right="0" w:rightChars="0" w:firstLine="0" w:firstLineChars="0"/>
        <w:jc w:val="both"/>
        <w:textAlignment w:val="auto"/>
        <w:outlineLvl w:val="9"/>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val="en-US" w:eastAsia="zh-CN"/>
        </w:rPr>
        <w:t>二、营业范围及资质范围</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公司</w:t>
      </w:r>
      <w:r>
        <w:rPr>
          <w:rFonts w:hint="eastAsia" w:ascii="仿宋_GB2312" w:eastAsia="仿宋_GB2312"/>
          <w:color w:val="000000"/>
          <w:sz w:val="28"/>
          <w:szCs w:val="28"/>
          <w:lang w:val="en-US" w:eastAsia="zh-CN"/>
        </w:rPr>
        <w:t>营业范围为：环保科技开发；环境保护与治理咨询服务；环境污染防治工程设计；建设项目水资源论证；水土保持方案编制；环保仪器设备经销。</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环评资质甲级</w:t>
      </w:r>
      <w:r>
        <w:rPr>
          <w:rFonts w:hint="eastAsia" w:ascii="仿宋_GB2312" w:eastAsia="仿宋_GB2312"/>
          <w:color w:val="000000"/>
          <w:sz w:val="28"/>
          <w:szCs w:val="28"/>
          <w:lang w:val="en-US" w:eastAsia="zh-CN"/>
        </w:rPr>
        <w:t>类别：</w:t>
      </w:r>
      <w:r>
        <w:rPr>
          <w:rFonts w:hint="eastAsia" w:ascii="仿宋_GB2312" w:eastAsia="仿宋_GB2312"/>
          <w:color w:val="000000"/>
          <w:sz w:val="28"/>
          <w:szCs w:val="28"/>
          <w:lang w:eastAsia="zh-CN"/>
        </w:rPr>
        <w:t>社会区域、建材火电、交通运输类；乙级</w:t>
      </w:r>
      <w:r>
        <w:rPr>
          <w:rFonts w:hint="eastAsia" w:ascii="仿宋_GB2312" w:eastAsia="仿宋_GB2312"/>
          <w:color w:val="000000"/>
          <w:sz w:val="28"/>
          <w:szCs w:val="28"/>
          <w:lang w:val="en-US" w:eastAsia="zh-CN"/>
        </w:rPr>
        <w:t>类别：</w:t>
      </w:r>
      <w:r>
        <w:rPr>
          <w:rFonts w:hint="eastAsia" w:ascii="仿宋_GB2312" w:eastAsia="仿宋_GB2312"/>
          <w:color w:val="000000"/>
          <w:sz w:val="28"/>
          <w:szCs w:val="28"/>
          <w:lang w:eastAsia="zh-CN"/>
        </w:rPr>
        <w:t>化工石化医药、采掘；</w:t>
      </w:r>
      <w:r>
        <w:rPr>
          <w:rFonts w:hint="eastAsia" w:ascii="仿宋_GB2312" w:eastAsia="仿宋_GB2312"/>
          <w:color w:val="000000"/>
          <w:sz w:val="28"/>
          <w:szCs w:val="28"/>
          <w:lang w:val="en-US" w:eastAsia="zh-CN"/>
        </w:rPr>
        <w:t>一般项目环境影响报告表。</w:t>
      </w:r>
    </w:p>
    <w:p>
      <w:pPr>
        <w:keepNext w:val="0"/>
        <w:keepLines w:val="0"/>
        <w:pageBreakBefore w:val="0"/>
        <w:widowControl w:val="0"/>
        <w:kinsoku/>
        <w:wordWrap/>
        <w:overflowPunct/>
        <w:topLinePunct w:val="0"/>
        <w:autoSpaceDE/>
        <w:autoSpaceDN/>
        <w:bidi w:val="0"/>
        <w:adjustRightInd/>
        <w:snapToGrid w:val="0"/>
        <w:spacing w:before="313" w:beforeLines="100" w:line="360" w:lineRule="auto"/>
        <w:ind w:left="0" w:leftChars="0" w:right="0" w:rightChars="0" w:firstLine="0" w:firstLineChars="0"/>
        <w:jc w:val="both"/>
        <w:textAlignment w:val="auto"/>
        <w:outlineLvl w:val="9"/>
        <w:rPr>
          <w:rFonts w:hint="eastAsia" w:ascii="仿宋_GB2312" w:eastAsia="仿宋_GB2312"/>
          <w:b/>
          <w:color w:val="000000"/>
          <w:sz w:val="32"/>
          <w:szCs w:val="32"/>
        </w:rPr>
      </w:pPr>
      <w:r>
        <w:rPr>
          <w:rFonts w:hint="eastAsia" w:ascii="仿宋_GB2312" w:eastAsia="仿宋_GB2312"/>
          <w:b/>
          <w:color w:val="000000"/>
          <w:sz w:val="32"/>
          <w:szCs w:val="32"/>
          <w:lang w:val="en-US" w:eastAsia="zh-CN"/>
        </w:rPr>
        <w:t>三、职业道德及从业行为</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实际工作中，我</w:t>
      </w:r>
      <w:r>
        <w:rPr>
          <w:rFonts w:hint="eastAsia" w:ascii="仿宋_GB2312" w:eastAsia="仿宋_GB2312"/>
          <w:color w:val="000000"/>
          <w:sz w:val="28"/>
          <w:szCs w:val="28"/>
          <w:lang w:val="en-US" w:eastAsia="zh-CN"/>
        </w:rPr>
        <w:t>公司</w:t>
      </w:r>
      <w:r>
        <w:rPr>
          <w:rFonts w:hint="eastAsia" w:ascii="仿宋_GB2312" w:eastAsia="仿宋_GB2312"/>
          <w:color w:val="000000"/>
          <w:sz w:val="28"/>
          <w:szCs w:val="28"/>
          <w:lang w:eastAsia="zh-CN"/>
        </w:rPr>
        <w:t>严格按照《环境影响评价从业人员职业道德规范》规范我</w:t>
      </w:r>
      <w:r>
        <w:rPr>
          <w:rFonts w:hint="eastAsia" w:ascii="仿宋_GB2312" w:eastAsia="仿宋_GB2312"/>
          <w:color w:val="000000"/>
          <w:sz w:val="28"/>
          <w:szCs w:val="28"/>
          <w:lang w:val="en-US" w:eastAsia="zh-CN"/>
        </w:rPr>
        <w:t>公司</w:t>
      </w:r>
      <w:r>
        <w:rPr>
          <w:rFonts w:hint="eastAsia" w:ascii="仿宋_GB2312" w:eastAsia="仿宋_GB2312"/>
          <w:color w:val="000000"/>
          <w:sz w:val="28"/>
          <w:szCs w:val="28"/>
          <w:lang w:eastAsia="zh-CN"/>
        </w:rPr>
        <w:t>人员的从业行为，始终坚持对从业人员进行依法遵规、公正诚信、忠于职守、服务社会、廉洁自律等方面的职业道德教育。同时始终注意维护</w:t>
      </w:r>
      <w:r>
        <w:rPr>
          <w:rFonts w:hint="eastAsia" w:ascii="仿宋_GB2312" w:eastAsia="仿宋_GB2312"/>
          <w:color w:val="000000"/>
          <w:sz w:val="28"/>
          <w:szCs w:val="28"/>
          <w:lang w:val="en-US" w:eastAsia="zh-CN"/>
        </w:rPr>
        <w:t>公司</w:t>
      </w:r>
      <w:r>
        <w:rPr>
          <w:rFonts w:hint="eastAsia" w:ascii="仿宋_GB2312" w:eastAsia="仿宋_GB2312"/>
          <w:color w:val="000000"/>
          <w:sz w:val="28"/>
          <w:szCs w:val="28"/>
          <w:lang w:eastAsia="zh-CN"/>
        </w:rPr>
        <w:t>的良好社会形象，严格按照环评收费标准洽谈合同，不搞恶性竞争，多年来我</w:t>
      </w:r>
      <w:r>
        <w:rPr>
          <w:rFonts w:hint="eastAsia" w:ascii="仿宋_GB2312" w:eastAsia="仿宋_GB2312"/>
          <w:color w:val="000000"/>
          <w:sz w:val="28"/>
          <w:szCs w:val="28"/>
          <w:lang w:val="en-US" w:eastAsia="zh-CN"/>
        </w:rPr>
        <w:t>公司</w:t>
      </w:r>
      <w:r>
        <w:rPr>
          <w:rFonts w:hint="eastAsia" w:ascii="仿宋_GB2312" w:eastAsia="仿宋_GB2312"/>
          <w:color w:val="000000"/>
          <w:sz w:val="28"/>
          <w:szCs w:val="28"/>
          <w:lang w:eastAsia="zh-CN"/>
        </w:rPr>
        <w:t>的从业行为始终受到社会各界及业内人士的广泛好评。</w:t>
      </w:r>
    </w:p>
    <w:p>
      <w:pPr>
        <w:keepNext w:val="0"/>
        <w:keepLines w:val="0"/>
        <w:pageBreakBefore w:val="0"/>
        <w:widowControl w:val="0"/>
        <w:kinsoku/>
        <w:wordWrap/>
        <w:overflowPunct/>
        <w:topLinePunct w:val="0"/>
        <w:autoSpaceDE/>
        <w:autoSpaceDN/>
        <w:bidi w:val="0"/>
        <w:adjustRightInd/>
        <w:snapToGrid w:val="0"/>
        <w:spacing w:before="313" w:beforeLines="100" w:line="360" w:lineRule="auto"/>
        <w:ind w:left="0" w:leftChars="0" w:right="0" w:rightChars="0" w:firstLine="0" w:firstLineChars="0"/>
        <w:jc w:val="both"/>
        <w:textAlignment w:val="auto"/>
        <w:outlineLvl w:val="9"/>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val="en-US" w:eastAsia="zh-CN"/>
        </w:rPr>
        <w:t>四、近年获奖情况</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木兰松花江公路大桥及引道工程</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获黑龙江省优秀工程咨询成果一等奖；</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2、《松花江、黑龙江两江流域规划》获黑龙江省优秀工程咨询成果一等奖；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3、</w:t>
      </w:r>
      <w:r>
        <w:rPr>
          <w:rFonts w:hint="eastAsia" w:ascii="仿宋_GB2312" w:eastAsia="仿宋_GB2312"/>
          <w:color w:val="000000"/>
          <w:sz w:val="28"/>
          <w:szCs w:val="28"/>
          <w:lang w:eastAsia="zh-CN"/>
        </w:rPr>
        <w:t>《鸡西市北方垃圾焚烧发电站工程环境影响报告书》获省优秀工程咨询成果一等奖；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4、</w:t>
      </w:r>
      <w:r>
        <w:rPr>
          <w:rFonts w:hint="eastAsia" w:ascii="仿宋_GB2312" w:eastAsia="仿宋_GB2312"/>
          <w:color w:val="000000"/>
          <w:sz w:val="28"/>
          <w:szCs w:val="28"/>
          <w:lang w:eastAsia="zh-CN"/>
        </w:rPr>
        <w:t>《黑龙江龙煤集团七台河分公司1×300MW矸石电厂扩建工程环境影响报告书》获省优秀工程咨询成果一等奖；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5、</w:t>
      </w:r>
      <w:r>
        <w:rPr>
          <w:rFonts w:hint="eastAsia" w:ascii="仿宋_GB2312" w:eastAsia="仿宋_GB2312"/>
          <w:color w:val="000000"/>
          <w:sz w:val="28"/>
          <w:szCs w:val="28"/>
          <w:lang w:eastAsia="zh-CN"/>
        </w:rPr>
        <w:t>《密山市热电厂新建工程项目环境影响报告书》获黑龙江省省审优秀报告书奖；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6、</w:t>
      </w:r>
      <w:r>
        <w:rPr>
          <w:rFonts w:hint="eastAsia" w:ascii="仿宋_GB2312" w:eastAsia="仿宋_GB2312"/>
          <w:color w:val="000000"/>
          <w:sz w:val="28"/>
          <w:szCs w:val="28"/>
          <w:lang w:eastAsia="zh-CN"/>
        </w:rPr>
        <w:t>《绥化至北安高速公路建设工程环境影响报告书》获黑龙江省省审优秀报告书奖；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7、</w:t>
      </w:r>
      <w:r>
        <w:rPr>
          <w:rFonts w:hint="eastAsia" w:ascii="仿宋_GB2312" w:eastAsia="仿宋_GB2312"/>
          <w:color w:val="000000"/>
          <w:sz w:val="28"/>
          <w:szCs w:val="28"/>
          <w:lang w:eastAsia="zh-CN"/>
        </w:rPr>
        <w:t>《黑龙江省伊春林业发电厂烟气脱硫工程环境影响报告表》获黑龙江省省审优秀报告书奖；</w:t>
      </w:r>
    </w:p>
    <w:p>
      <w:pPr>
        <w:snapToGrid w:val="0"/>
        <w:spacing w:line="360" w:lineRule="auto"/>
        <w:ind w:firstLine="707" w:firstLineChars="221"/>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8、</w:t>
      </w:r>
      <w:r>
        <w:rPr>
          <w:rFonts w:hint="eastAsia" w:ascii="仿宋_GB2312" w:eastAsia="仿宋_GB2312"/>
          <w:color w:val="000000"/>
          <w:sz w:val="28"/>
          <w:szCs w:val="28"/>
          <w:lang w:eastAsia="zh-CN"/>
        </w:rPr>
        <w:t>《绥满高速绥芬河（东宁）至牡丹江段环境影响报告书》获省优秀工程咨询成果一等奖；</w:t>
      </w:r>
    </w:p>
    <w:p>
      <w:pPr>
        <w:snapToGrid w:val="0"/>
        <w:spacing w:line="360" w:lineRule="auto"/>
        <w:jc w:val="left"/>
        <w:rPr>
          <w:rFonts w:hint="eastAsia" w:ascii="仿宋_GB2312" w:eastAsia="仿宋_GB2312"/>
          <w:b/>
          <w:bCs/>
          <w:color w:val="000000"/>
          <w:sz w:val="28"/>
          <w:szCs w:val="28"/>
          <w:lang w:val="en-US" w:eastAsia="zh-CN"/>
        </w:rPr>
      </w:pPr>
      <w:r>
        <w:rPr>
          <w:rFonts w:hint="eastAsia" w:ascii="仿宋_GB2312" w:eastAsia="仿宋_GB2312"/>
          <w:b/>
          <w:bCs/>
          <w:color w:val="000000"/>
          <w:sz w:val="28"/>
          <w:szCs w:val="28"/>
          <w:lang w:val="en-US" w:eastAsia="zh-CN"/>
        </w:rPr>
        <w:t>五、主要业绩</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1、建材火电</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肇源环球1×30MW生物质能发电新建工程项目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北安奥天奇30MW生物质发电新建工程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黑龙江省新青林业局2015年保障性安居工程配套机场设施供热建设项目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哈尔滨市原马家沟机场开发区集中供热热网工程循环流化床锅炉替代煤粉锅炉项目一期工程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大唐鸡西热电有限责任公司背压机组扩建项目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2、交通运输</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北大荒通用航空公司肇东机场建设项目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国道同哈公路（G221）佳木斯至佳依界段改扩建工程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木兰通用机场建设项目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国道饶盖公路饶河口岸至大岱林场段改建工程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黑河（中国）-布拉戈维申斯克（俄罗斯）黑龙江（阿穆尔河）界河桥工程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3、社会服务</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鸡西市朝阳净水厂及“四区”输配水工程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中国工艺文化创意园·黑龙江（c-08-01地块）</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冯屯-岭东500千伏输变电工程对黑龙江齐齐哈尔沿江湿地自然保护区项目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哈尔滨高寒城市智能公交系统建设项目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4、化工石化医药</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怀化市第一人民医院药学中心大楼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大庆三为国际老年公寓及医院</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伊春市液化气储配库工程</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中国石油哈尔滨石化公司酸性水汽提硫磺回收项目</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5、采掘</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穆棱市宏旭石墨有限公司2万t/a选矿厂、尾矿库改扩建工程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鹤岗市兴胜煤矿资源整合项目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尖山石墨矿矿山建设项目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黑龙江省哈尔滨市松江铜业（集团）有限公司小岭铁锌矿</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黑龙江铜山矿业有限公司铜山铜矿改扩建工程</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6、规划</w:t>
      </w:r>
      <w:bookmarkStart w:id="0" w:name="_GoBack"/>
      <w:bookmarkEnd w:id="0"/>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双鸭山市新型煤化工产业园区总体规划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黑龙江集贤经济开发区规划  </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鸡西市热电联产规划</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黑瞎子岛保护与开放开发总体规划</w:t>
      </w:r>
    </w:p>
    <w:p>
      <w:pPr>
        <w:snapToGrid w:val="0"/>
        <w:spacing w:line="360" w:lineRule="auto"/>
        <w:ind w:firstLine="707" w:firstLineChars="221"/>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嫩江县工业示范基地总体规划</w:t>
      </w:r>
    </w:p>
    <w:p>
      <w:pPr>
        <w:snapToGrid w:val="0"/>
        <w:spacing w:line="360" w:lineRule="auto"/>
        <w:jc w:val="left"/>
        <w:rPr>
          <w:rFonts w:hint="eastAsia" w:ascii="仿宋_GB2312" w:eastAsia="仿宋_GB2312"/>
          <w:b/>
          <w:bCs/>
          <w:color w:val="000000"/>
          <w:sz w:val="28"/>
          <w:szCs w:val="28"/>
          <w:lang w:val="en-US" w:eastAsia="zh-CN"/>
        </w:rPr>
      </w:pPr>
    </w:p>
    <w:p>
      <w:pPr>
        <w:snapToGrid w:val="0"/>
        <w:spacing w:line="360" w:lineRule="auto"/>
        <w:ind w:firstLine="707" w:firstLineChars="221"/>
        <w:rPr>
          <w:rFonts w:hint="eastAsia" w:ascii="仿宋_GB2312" w:eastAsia="仿宋_GB2312"/>
          <w:color w:val="000000"/>
          <w:sz w:val="28"/>
          <w:szCs w:val="28"/>
          <w:lang w:eastAsia="zh-CN"/>
        </w:rPr>
      </w:pPr>
    </w:p>
    <w:sectPr>
      <w:pgSz w:w="11906" w:h="16838"/>
      <w:pgMar w:top="10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Calibri">
    <w:panose1 w:val="020F0502020204030204"/>
    <w:charset w:val="86"/>
    <w:family w:val="modern"/>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0240B"/>
    <w:rsid w:val="06C11E09"/>
    <w:rsid w:val="148E7F51"/>
    <w:rsid w:val="18D86115"/>
    <w:rsid w:val="1EB64D23"/>
    <w:rsid w:val="1EE929D4"/>
    <w:rsid w:val="22BB2935"/>
    <w:rsid w:val="2B291ADD"/>
    <w:rsid w:val="2BFC2B4A"/>
    <w:rsid w:val="2F4E0F81"/>
    <w:rsid w:val="2F941E49"/>
    <w:rsid w:val="30231CB2"/>
    <w:rsid w:val="304F208F"/>
    <w:rsid w:val="30EF27A3"/>
    <w:rsid w:val="34CA2AA1"/>
    <w:rsid w:val="3C9F65F5"/>
    <w:rsid w:val="40213DEC"/>
    <w:rsid w:val="40B26803"/>
    <w:rsid w:val="42D07305"/>
    <w:rsid w:val="43835318"/>
    <w:rsid w:val="49DC4EB2"/>
    <w:rsid w:val="4C1F7735"/>
    <w:rsid w:val="54EA6939"/>
    <w:rsid w:val="55144AD0"/>
    <w:rsid w:val="59D4733A"/>
    <w:rsid w:val="5C456DA6"/>
    <w:rsid w:val="5C9A401A"/>
    <w:rsid w:val="6189529D"/>
    <w:rsid w:val="64E34F62"/>
    <w:rsid w:val="65115091"/>
    <w:rsid w:val="6CB32A78"/>
    <w:rsid w:val="6EE20AE0"/>
    <w:rsid w:val="714102AE"/>
    <w:rsid w:val="755F1457"/>
    <w:rsid w:val="75D66DFA"/>
    <w:rsid w:val="79F32690"/>
    <w:rsid w:val="7EBE6679"/>
    <w:rsid w:val="7EE80E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2016-12-20T07:52:12Z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